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69" w:rsidRDefault="001E7569">
      <w:r>
        <w:rPr>
          <w:rFonts w:hint="cs"/>
          <w:noProof/>
        </w:rPr>
        <w:pict>
          <v:rect id="_x0000_s1026" style="position:absolute;margin-left:411.25pt;margin-top:-34.95pt;width:75.75pt;height:25.5pt;z-index:251658240">
            <v:textbox>
              <w:txbxContent>
                <w:p w:rsidR="001E7569" w:rsidRPr="001E7569" w:rsidRDefault="001E7569" w:rsidP="001E7569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 w:rsidRPr="001E7569">
                    <w:rPr>
                      <w:b/>
                      <w:bCs/>
                      <w:color w:val="auto"/>
                    </w:rPr>
                    <w:t xml:space="preserve">MCU_RM </w:t>
                  </w:r>
                  <w:r w:rsidRPr="001E7569">
                    <w:rPr>
                      <w:b/>
                      <w:bCs/>
                      <w:color w:val="auto"/>
                      <w:cs/>
                    </w:rPr>
                    <w:t>๐</w:t>
                  </w:r>
                </w:p>
                <w:p w:rsidR="001E7569" w:rsidRDefault="001E7569" w:rsidP="001E7569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p w:rsidR="001E7569" w:rsidRDefault="001E7569">
      <w:r>
        <w:rPr>
          <w:rFonts w:hint="c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.9pt;margin-top:6.3pt;width:36.7pt;height:216.6pt;z-index:-251656192" filled="t" fillcolor="white [3212]" stroked="t" strokecolor="white [3212]">
            <v:stroke dashstyle="1 1" endcap="round"/>
            <v:imagedata r:id="rId4" o:title=""/>
          </v:shape>
          <o:OLEObject Type="Embed" ProgID="Excel.Sheet.8" ShapeID="_x0000_s1028" DrawAspect="Content" ObjectID="_1477320448" r:id="rId5"/>
        </w:pict>
      </w:r>
      <w:r>
        <w:rPr>
          <w:rFonts w:hint="cs"/>
          <w:noProof/>
        </w:rPr>
        <w:pict>
          <v:shape id="_x0000_s1027" type="#_x0000_t75" style="position:absolute;margin-left:89.85pt;margin-top:2.8pt;width:321.4pt;height:220.1pt;z-index:251659264" fillcolor="#bbe0e3">
            <v:imagedata r:id="rId6" o:title=""/>
          </v:shape>
          <o:OLEObject Type="Embed" ProgID="Excel.Sheet.8" ShapeID="_x0000_s1027" DrawAspect="Content" ObjectID="_1477320447" r:id="rId7"/>
        </w:pict>
      </w:r>
    </w:p>
    <w:p w:rsidR="001E7569" w:rsidRDefault="001E7569"/>
    <w:p w:rsidR="001E7569" w:rsidRDefault="001E7569"/>
    <w:p w:rsidR="001E7569" w:rsidRDefault="001E7569"/>
    <w:p w:rsidR="0033038B" w:rsidRDefault="0033038B"/>
    <w:p w:rsidR="001E7569" w:rsidRDefault="001E7569"/>
    <w:p w:rsidR="001E7569" w:rsidRDefault="001E7569"/>
    <w:p w:rsidR="001E7569" w:rsidRDefault="001E7569" w:rsidP="001E7569">
      <w:pPr>
        <w:spacing w:after="0" w:line="240" w:lineRule="auto"/>
        <w:ind w:left="2160" w:firstLine="720"/>
        <w:jc w:val="center"/>
        <w:rPr>
          <w:rFonts w:ascii="THSarabunPSK" w:hAnsi="THSarabunPSK" w:cs="THSarabunPSK" w:hint="cs"/>
          <w:b/>
          <w:bCs/>
        </w:rPr>
      </w:pPr>
    </w:p>
    <w:p w:rsidR="001E7569" w:rsidRDefault="001E7569" w:rsidP="001E7569">
      <w:pPr>
        <w:spacing w:after="0" w:line="240" w:lineRule="auto"/>
        <w:ind w:left="2160" w:firstLine="720"/>
        <w:rPr>
          <w:rFonts w:ascii="THSarabunPSK" w:hAnsi="THSarabunPSK" w:cs="THSarabunPSK"/>
          <w:b/>
          <w:bCs/>
        </w:rPr>
      </w:pPr>
      <w:r>
        <w:rPr>
          <w:rFonts w:ascii="THSarabunPSK" w:hAnsi="THSarabunPSK" w:cs="THSarabunPSK" w:hint="cs"/>
          <w:b/>
          <w:bCs/>
          <w:cs/>
        </w:rPr>
        <w:t xml:space="preserve">           </w:t>
      </w:r>
      <w:r w:rsidRPr="00AF6A51">
        <w:rPr>
          <w:rFonts w:ascii="THSarabunPSK" w:hAnsi="THSarabunPSK" w:cs="THSarabunPSK" w:hint="cs"/>
          <w:b/>
          <w:bCs/>
          <w:cs/>
        </w:rPr>
        <w:t xml:space="preserve">ผลกระทบ </w:t>
      </w:r>
      <w:r w:rsidRPr="00AF6A51">
        <w:rPr>
          <w:rFonts w:eastAsia="Times New Roman"/>
          <w:b/>
          <w:bCs/>
          <w:lang w:val="en-SG"/>
        </w:rPr>
        <w:t>(</w:t>
      </w:r>
      <w:proofErr w:type="gramStart"/>
      <w:r w:rsidRPr="00AF6A51">
        <w:rPr>
          <w:rFonts w:eastAsia="Times New Roman"/>
          <w:b/>
          <w:bCs/>
          <w:lang w:val="en-SG"/>
        </w:rPr>
        <w:t>Impact :</w:t>
      </w:r>
      <w:proofErr w:type="gramEnd"/>
      <w:r w:rsidRPr="00AF6A51">
        <w:rPr>
          <w:rFonts w:eastAsia="Times New Roman"/>
          <w:b/>
          <w:bCs/>
          <w:lang w:val="en-SG"/>
        </w:rPr>
        <w:t xml:space="preserve"> I)</w:t>
      </w:r>
    </w:p>
    <w:tbl>
      <w:tblPr>
        <w:tblpPr w:leftFromText="180" w:rightFromText="180" w:vertAnchor="text" w:horzAnchor="page" w:tblpX="1738" w:tblpY="6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2389"/>
        <w:gridCol w:w="2901"/>
      </w:tblGrid>
      <w:tr w:rsidR="001E7569" w:rsidRPr="00361289" w:rsidTr="001E7569">
        <w:trPr>
          <w:trHeight w:val="990"/>
        </w:trPr>
        <w:tc>
          <w:tcPr>
            <w:tcW w:w="3890" w:type="dxa"/>
          </w:tcPr>
          <w:p w:rsidR="001E7569" w:rsidRPr="001E756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1E7569">
              <w:rPr>
                <w:rFonts w:hint="cs"/>
                <w:b/>
                <w:bCs/>
                <w:cs/>
              </w:rPr>
              <w:br/>
            </w:r>
            <w:r w:rsidRPr="001E7569">
              <w:rPr>
                <w:rFonts w:eastAsia="Calibri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2389" w:type="dxa"/>
          </w:tcPr>
          <w:p w:rsidR="001E7569" w:rsidRPr="001E7569" w:rsidRDefault="001E7569" w:rsidP="001E7569">
            <w:pPr>
              <w:jc w:val="center"/>
              <w:rPr>
                <w:rFonts w:eastAsia="Calibri"/>
                <w:b/>
                <w:bCs/>
                <w:cs/>
              </w:rPr>
            </w:pPr>
            <w:r w:rsidRPr="001E7569">
              <w:rPr>
                <w:rFonts w:eastAsia="Calibri"/>
                <w:b/>
                <w:bCs/>
                <w:cs/>
              </w:rPr>
              <w:t>ค่าช่วงคะแนน</w:t>
            </w:r>
            <w:r w:rsidRPr="001E7569">
              <w:rPr>
                <w:b/>
                <w:bCs/>
                <w:cs/>
              </w:rPr>
              <w:br/>
            </w:r>
            <w:r w:rsidRPr="001E7569">
              <w:rPr>
                <w:rFonts w:eastAsia="Calibri"/>
                <w:b/>
                <w:bCs/>
                <w:cs/>
              </w:rPr>
              <w:t xml:space="preserve">(โอกาสเกิด </w:t>
            </w:r>
            <w:r w:rsidRPr="001E7569">
              <w:rPr>
                <w:b/>
                <w:bCs/>
              </w:rPr>
              <w:t>x</w:t>
            </w:r>
            <w:r w:rsidRPr="001E7569">
              <w:rPr>
                <w:rFonts w:eastAsia="Calibri"/>
                <w:b/>
                <w:bCs/>
                <w:cs/>
              </w:rPr>
              <w:t>ผลกระทบ)</w:t>
            </w:r>
          </w:p>
        </w:tc>
        <w:tc>
          <w:tcPr>
            <w:tcW w:w="2901" w:type="dxa"/>
          </w:tcPr>
          <w:p w:rsidR="001E7569" w:rsidRPr="001E756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1E7569">
              <w:rPr>
                <w:rFonts w:hint="cs"/>
                <w:b/>
                <w:bCs/>
                <w:cs/>
              </w:rPr>
              <w:br/>
            </w:r>
            <w:r w:rsidRPr="001E7569">
              <w:rPr>
                <w:rFonts w:eastAsia="Calibri"/>
                <w:b/>
                <w:bCs/>
                <w:cs/>
              </w:rPr>
              <w:t>สีแสดงระดับความเสี่ยง</w:t>
            </w:r>
          </w:p>
        </w:tc>
      </w:tr>
      <w:tr w:rsidR="001E7569" w:rsidRPr="00361289" w:rsidTr="001E7569">
        <w:trPr>
          <w:trHeight w:val="367"/>
        </w:trPr>
        <w:tc>
          <w:tcPr>
            <w:tcW w:w="3890" w:type="dxa"/>
          </w:tcPr>
          <w:p w:rsidR="001E7569" w:rsidRPr="009A3E19" w:rsidRDefault="001E7569" w:rsidP="001E7569">
            <w:pPr>
              <w:rPr>
                <w:rFonts w:eastAsia="Calibri"/>
              </w:rPr>
            </w:pPr>
            <w:r w:rsidRPr="009A3E19">
              <w:rPr>
                <w:rFonts w:eastAsia="Calibri"/>
                <w:cs/>
              </w:rPr>
              <w:t>ระดับความเสี่ยงต่ำ (</w:t>
            </w:r>
            <w:r w:rsidRPr="009A3E19">
              <w:rPr>
                <w:rFonts w:eastAsia="Calibri"/>
              </w:rPr>
              <w:t>Low</w:t>
            </w:r>
            <w:r w:rsidRPr="009A3E19">
              <w:rPr>
                <w:rFonts w:eastAsia="Calibri"/>
                <w:cs/>
              </w:rPr>
              <w:t>)</w:t>
            </w:r>
          </w:p>
        </w:tc>
        <w:tc>
          <w:tcPr>
            <w:tcW w:w="2389" w:type="dxa"/>
          </w:tcPr>
          <w:p w:rsidR="001E7569" w:rsidRPr="00FC59B7" w:rsidRDefault="001E7569" w:rsidP="001E7569">
            <w:pPr>
              <w:jc w:val="center"/>
              <w:rPr>
                <w:rFonts w:eastAsia="Calibri"/>
                <w:color w:val="auto"/>
              </w:rPr>
            </w:pPr>
            <w:r w:rsidRPr="00FC59B7">
              <w:rPr>
                <w:rFonts w:hint="cs"/>
                <w:color w:val="auto"/>
                <w:cs/>
              </w:rPr>
              <w:t>๑</w:t>
            </w:r>
            <w:r w:rsidRPr="00FC59B7">
              <w:rPr>
                <w:color w:val="auto"/>
                <w:cs/>
              </w:rPr>
              <w:t>–</w:t>
            </w:r>
            <w:r w:rsidRPr="00FC59B7">
              <w:rPr>
                <w:rFonts w:hint="cs"/>
                <w:color w:val="auto"/>
                <w:cs/>
              </w:rPr>
              <w:t>๓</w:t>
            </w:r>
          </w:p>
        </w:tc>
        <w:tc>
          <w:tcPr>
            <w:tcW w:w="2901" w:type="dxa"/>
            <w:shd w:val="clear" w:color="auto" w:fill="66FF33"/>
          </w:tcPr>
          <w:p w:rsidR="001E7569" w:rsidRPr="009A3E1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9A3E19">
              <w:rPr>
                <w:rFonts w:eastAsia="Calibri" w:hint="cs"/>
                <w:b/>
                <w:bCs/>
                <w:cs/>
              </w:rPr>
              <w:t>สีเขียว</w:t>
            </w:r>
          </w:p>
        </w:tc>
      </w:tr>
      <w:tr w:rsidR="001E7569" w:rsidRPr="00361289" w:rsidTr="001E7569">
        <w:tc>
          <w:tcPr>
            <w:tcW w:w="3890" w:type="dxa"/>
          </w:tcPr>
          <w:p w:rsidR="001E7569" w:rsidRPr="009A3E19" w:rsidRDefault="001E7569" w:rsidP="001E7569">
            <w:pPr>
              <w:rPr>
                <w:rFonts w:eastAsia="Calibri"/>
                <w:cs/>
              </w:rPr>
            </w:pPr>
            <w:r w:rsidRPr="009A3E19">
              <w:rPr>
                <w:rFonts w:eastAsia="Calibri"/>
                <w:cs/>
              </w:rPr>
              <w:t>ระดับความเสี่ยงปานกลาง (</w:t>
            </w:r>
            <w:r w:rsidRPr="009A3E19">
              <w:rPr>
                <w:rFonts w:eastAsia="Calibri"/>
              </w:rPr>
              <w:t>Medium</w:t>
            </w:r>
            <w:r w:rsidRPr="009A3E19">
              <w:rPr>
                <w:rFonts w:eastAsia="Calibri"/>
                <w:cs/>
              </w:rPr>
              <w:t>)</w:t>
            </w:r>
          </w:p>
        </w:tc>
        <w:tc>
          <w:tcPr>
            <w:tcW w:w="2389" w:type="dxa"/>
          </w:tcPr>
          <w:p w:rsidR="001E7569" w:rsidRPr="00FC59B7" w:rsidRDefault="001E7569" w:rsidP="001E7569">
            <w:pPr>
              <w:jc w:val="center"/>
              <w:rPr>
                <w:rFonts w:eastAsia="Calibri"/>
                <w:color w:val="auto"/>
              </w:rPr>
            </w:pPr>
            <w:r w:rsidRPr="00FC59B7">
              <w:rPr>
                <w:rFonts w:hint="cs"/>
                <w:color w:val="auto"/>
                <w:cs/>
              </w:rPr>
              <w:t>๔</w:t>
            </w:r>
            <w:r w:rsidRPr="00FC59B7">
              <w:rPr>
                <w:color w:val="auto"/>
                <w:cs/>
              </w:rPr>
              <w:t>–</w:t>
            </w:r>
            <w:r w:rsidRPr="00FC59B7">
              <w:rPr>
                <w:rFonts w:hint="cs"/>
                <w:color w:val="auto"/>
                <w:cs/>
              </w:rPr>
              <w:t>๖</w:t>
            </w:r>
          </w:p>
        </w:tc>
        <w:tc>
          <w:tcPr>
            <w:tcW w:w="2901" w:type="dxa"/>
            <w:shd w:val="clear" w:color="auto" w:fill="FFFF00"/>
          </w:tcPr>
          <w:p w:rsidR="001E7569" w:rsidRPr="009A3E1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9A3E19">
              <w:rPr>
                <w:rFonts w:eastAsia="Calibri" w:hint="cs"/>
                <w:b/>
                <w:bCs/>
                <w:cs/>
              </w:rPr>
              <w:t>สีเหลือง</w:t>
            </w:r>
          </w:p>
        </w:tc>
      </w:tr>
      <w:tr w:rsidR="001E7569" w:rsidRPr="00361289" w:rsidTr="001E7569">
        <w:tc>
          <w:tcPr>
            <w:tcW w:w="3890" w:type="dxa"/>
          </w:tcPr>
          <w:p w:rsidR="001E7569" w:rsidRPr="009A3E19" w:rsidRDefault="001E7569" w:rsidP="001E7569">
            <w:pPr>
              <w:rPr>
                <w:rFonts w:eastAsia="Calibri"/>
              </w:rPr>
            </w:pPr>
            <w:r w:rsidRPr="009A3E19">
              <w:rPr>
                <w:rFonts w:eastAsia="Calibri"/>
                <w:cs/>
              </w:rPr>
              <w:t>ระดับความเสี่ยงสูง</w:t>
            </w:r>
            <w:r w:rsidRPr="009A3E19">
              <w:rPr>
                <w:rFonts w:eastAsia="Calibri"/>
              </w:rPr>
              <w:t xml:space="preserve"> (High)</w:t>
            </w:r>
          </w:p>
        </w:tc>
        <w:tc>
          <w:tcPr>
            <w:tcW w:w="2389" w:type="dxa"/>
          </w:tcPr>
          <w:p w:rsidR="001E7569" w:rsidRPr="00FC59B7" w:rsidRDefault="001E7569" w:rsidP="001E7569">
            <w:pPr>
              <w:jc w:val="center"/>
              <w:rPr>
                <w:rFonts w:eastAsia="Calibri"/>
                <w:color w:val="auto"/>
              </w:rPr>
            </w:pPr>
            <w:r w:rsidRPr="00FC59B7">
              <w:rPr>
                <w:rFonts w:hint="cs"/>
                <w:color w:val="auto"/>
                <w:cs/>
              </w:rPr>
              <w:t>๘</w:t>
            </w:r>
            <w:r w:rsidRPr="00FC59B7">
              <w:rPr>
                <w:color w:val="auto"/>
                <w:cs/>
              </w:rPr>
              <w:t>–</w:t>
            </w:r>
            <w:r w:rsidRPr="00FC59B7">
              <w:rPr>
                <w:rFonts w:hint="cs"/>
                <w:color w:val="auto"/>
                <w:cs/>
              </w:rPr>
              <w:t>๑๒</w:t>
            </w:r>
          </w:p>
        </w:tc>
        <w:tc>
          <w:tcPr>
            <w:tcW w:w="2901" w:type="dxa"/>
            <w:shd w:val="clear" w:color="auto" w:fill="FF9900"/>
          </w:tcPr>
          <w:p w:rsidR="001E7569" w:rsidRPr="009A3E1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9A3E19">
              <w:rPr>
                <w:rFonts w:eastAsia="Calibri" w:hint="cs"/>
                <w:b/>
                <w:bCs/>
                <w:cs/>
              </w:rPr>
              <w:t>สีส้ม</w:t>
            </w:r>
          </w:p>
        </w:tc>
      </w:tr>
      <w:tr w:rsidR="001E7569" w:rsidRPr="00361289" w:rsidTr="001E7569">
        <w:trPr>
          <w:trHeight w:val="322"/>
        </w:trPr>
        <w:tc>
          <w:tcPr>
            <w:tcW w:w="3890" w:type="dxa"/>
          </w:tcPr>
          <w:p w:rsidR="001E7569" w:rsidRPr="009A3E19" w:rsidRDefault="001E7569" w:rsidP="001E7569">
            <w:pPr>
              <w:rPr>
                <w:rFonts w:eastAsia="Calibri"/>
              </w:rPr>
            </w:pPr>
            <w:r w:rsidRPr="009A3E19">
              <w:rPr>
                <w:rFonts w:eastAsia="Calibri"/>
                <w:cs/>
              </w:rPr>
              <w:t>ระดับความเสี่ยงสูงมาก (</w:t>
            </w:r>
            <w:r w:rsidRPr="009A3E19">
              <w:rPr>
                <w:rFonts w:eastAsia="Calibri"/>
              </w:rPr>
              <w:t>Extreme</w:t>
            </w:r>
            <w:r w:rsidRPr="009A3E19">
              <w:rPr>
                <w:rFonts w:eastAsia="Calibri"/>
                <w:cs/>
              </w:rPr>
              <w:t>)</w:t>
            </w:r>
          </w:p>
        </w:tc>
        <w:tc>
          <w:tcPr>
            <w:tcW w:w="2389" w:type="dxa"/>
          </w:tcPr>
          <w:p w:rsidR="001E7569" w:rsidRPr="00FC59B7" w:rsidRDefault="001E7569" w:rsidP="001E7569">
            <w:pPr>
              <w:jc w:val="center"/>
              <w:rPr>
                <w:rFonts w:eastAsia="Calibri"/>
                <w:color w:val="auto"/>
              </w:rPr>
            </w:pPr>
            <w:r w:rsidRPr="00FC59B7">
              <w:rPr>
                <w:rFonts w:hint="cs"/>
                <w:color w:val="auto"/>
                <w:cs/>
              </w:rPr>
              <w:t>๑๕</w:t>
            </w:r>
            <w:r w:rsidRPr="00FC59B7">
              <w:rPr>
                <w:color w:val="auto"/>
                <w:cs/>
              </w:rPr>
              <w:t>–</w:t>
            </w:r>
            <w:r w:rsidRPr="00FC59B7">
              <w:rPr>
                <w:rFonts w:hint="cs"/>
                <w:color w:val="auto"/>
                <w:cs/>
              </w:rPr>
              <w:t>๒๕</w:t>
            </w:r>
          </w:p>
        </w:tc>
        <w:tc>
          <w:tcPr>
            <w:tcW w:w="2901" w:type="dxa"/>
            <w:shd w:val="clear" w:color="auto" w:fill="FF0000"/>
          </w:tcPr>
          <w:p w:rsidR="001E7569" w:rsidRPr="009A3E1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9A3E19">
              <w:rPr>
                <w:rFonts w:eastAsia="Calibri" w:hint="cs"/>
                <w:b/>
                <w:bCs/>
                <w:cs/>
              </w:rPr>
              <w:t>สีแดง</w:t>
            </w:r>
          </w:p>
        </w:tc>
      </w:tr>
    </w:tbl>
    <w:p w:rsidR="001E7569" w:rsidRDefault="001E7569"/>
    <w:p w:rsidR="001E7569" w:rsidRDefault="001E7569"/>
    <w:p w:rsidR="001E7569" w:rsidRDefault="001E7569" w:rsidP="001E7569">
      <w:pPr>
        <w:spacing w:after="0" w:line="240" w:lineRule="auto"/>
        <w:rPr>
          <w:rFonts w:ascii="THSarabunPSK" w:hAnsi="THSarabunPSK" w:cs="THSarabunPSK"/>
          <w:b/>
          <w:bCs/>
          <w:u w:val="single"/>
        </w:rPr>
      </w:pPr>
      <w:r w:rsidRPr="001E7569">
        <w:rPr>
          <w:rFonts w:ascii="THSarabunPSK" w:hAnsi="THSarabunPSK" w:cs="THSarabunPSK" w:hint="cs"/>
          <w:b/>
          <w:bCs/>
          <w:cs/>
        </w:rPr>
        <w:t xml:space="preserve">   </w:t>
      </w:r>
      <w:r w:rsidRPr="00BA12DC">
        <w:rPr>
          <w:rFonts w:ascii="THSarabunPSK" w:hAnsi="THSarabunPSK" w:cs="THSarabunPSK" w:hint="cs"/>
          <w:b/>
          <w:bCs/>
          <w:u w:val="single"/>
          <w:cs/>
        </w:rPr>
        <w:t>เกณฑ์ระดับความเสี่ยงที่ยอมรับได้ มีดังนี้</w:t>
      </w:r>
      <w:r>
        <w:rPr>
          <w:rFonts w:ascii="THSarabunPSK" w:hAnsi="THSarabunPSK" w:cs="THSarabunPSK"/>
          <w:b/>
          <w:bCs/>
          <w:u w:val="single"/>
        </w:rPr>
        <w:br/>
      </w:r>
    </w:p>
    <w:p w:rsidR="001E7569" w:rsidRDefault="001E7569" w:rsidP="001E7569">
      <w:pPr>
        <w:spacing w:after="0" w:line="240" w:lineRule="auto"/>
        <w:rPr>
          <w:rFonts w:ascii="THSarabunPSK" w:hAnsi="THSarabunPSK" w:cs="THSarabunPSK" w:hint="cs"/>
          <w:cs/>
        </w:rPr>
      </w:pPr>
      <w:r>
        <w:rPr>
          <w:rFonts w:ascii="THSarabunPSK" w:hAnsi="THSarabunPSK" w:cs="THSarabunPSK"/>
        </w:rPr>
        <w:tab/>
      </w:r>
      <w:r>
        <w:rPr>
          <w:rFonts w:ascii="THSarabunPSK" w:hAnsi="THSarabunPSK" w:cs="THSarabunPSK" w:hint="cs"/>
          <w:cs/>
        </w:rPr>
        <w:t>ระดับความเสี่ยงด้านการปฏิบัติงาน</w:t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 w:hint="cs"/>
          <w:cs/>
        </w:rPr>
        <w:t>มีค่าตั้งแต่</w:t>
      </w:r>
      <w:r>
        <w:rPr>
          <w:rFonts w:ascii="THSarabunPSK" w:hAnsi="THSarabunPSK" w:cs="THSarabunPSK" w:hint="cs"/>
          <w:cs/>
        </w:rPr>
        <w:tab/>
        <w:t xml:space="preserve">๑ </w:t>
      </w:r>
      <w:r>
        <w:rPr>
          <w:rFonts w:ascii="THSarabunPSK" w:hAnsi="THSarabunPSK" w:cs="THSarabunPSK"/>
          <w:cs/>
        </w:rPr>
        <w:t>–</w:t>
      </w:r>
      <w:r>
        <w:rPr>
          <w:rFonts w:ascii="THSarabunPSK" w:hAnsi="THSarabunPSK" w:cs="THSarabunPSK" w:hint="cs"/>
          <w:cs/>
        </w:rPr>
        <w:t xml:space="preserve"> ๖</w:t>
      </w:r>
    </w:p>
    <w:p w:rsidR="001E7569" w:rsidRDefault="001E7569" w:rsidP="001E7569">
      <w:pPr>
        <w:spacing w:after="0" w:line="240" w:lineRule="auto"/>
        <w:rPr>
          <w:rFonts w:ascii="THSarabunPSK" w:hAnsi="THSarabunPSK" w:cs="THSarabunPSK" w:hint="cs"/>
          <w:cs/>
        </w:rPr>
      </w:pPr>
      <w:r>
        <w:rPr>
          <w:rFonts w:ascii="THSarabunPSK" w:hAnsi="THSarabunPSK" w:cs="THSarabunPSK" w:hint="cs"/>
          <w:cs/>
        </w:rPr>
        <w:tab/>
        <w:t>ระดับความเสี่ยงด้านการเงิน</w:t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 w:hint="cs"/>
          <w:cs/>
        </w:rPr>
        <w:t>มีค่าตั้งแต่</w:t>
      </w:r>
      <w:r>
        <w:rPr>
          <w:rFonts w:ascii="THSarabunPSK" w:hAnsi="THSarabunPSK" w:cs="THSarabunPSK" w:hint="cs"/>
          <w:cs/>
        </w:rPr>
        <w:tab/>
        <w:t xml:space="preserve">๑ </w:t>
      </w:r>
      <w:r>
        <w:rPr>
          <w:rFonts w:ascii="THSarabunPSK" w:hAnsi="THSarabunPSK" w:cs="THSarabunPSK"/>
          <w:cs/>
        </w:rPr>
        <w:t>–</w:t>
      </w:r>
      <w:r>
        <w:rPr>
          <w:rFonts w:ascii="THSarabunPSK" w:hAnsi="THSarabunPSK" w:cs="THSarabunPSK" w:hint="cs"/>
          <w:cs/>
        </w:rPr>
        <w:t xml:space="preserve"> ๖</w:t>
      </w:r>
    </w:p>
    <w:p w:rsidR="001E7569" w:rsidRDefault="001E7569" w:rsidP="001E7569">
      <w:pPr>
        <w:spacing w:after="0" w:line="240" w:lineRule="auto"/>
        <w:rPr>
          <w:rFonts w:ascii="THSarabunPSK" w:hAnsi="THSarabunPSK" w:cs="THSarabunPSK"/>
        </w:rPr>
      </w:pPr>
      <w:r>
        <w:rPr>
          <w:rFonts w:ascii="THSarabunPSK" w:hAnsi="THSarabunPSK" w:cs="THSarabunPSK" w:hint="cs"/>
          <w:cs/>
        </w:rPr>
        <w:tab/>
        <w:t>ระดับความเสี่ยงด้านกฎระเบียบ</w:t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 w:hint="cs"/>
          <w:cs/>
        </w:rPr>
        <w:t>มีค่าตั้งแต่</w:t>
      </w:r>
      <w:r>
        <w:rPr>
          <w:rFonts w:ascii="THSarabunPSK" w:hAnsi="THSarabunPSK" w:cs="THSarabunPSK" w:hint="cs"/>
          <w:cs/>
        </w:rPr>
        <w:tab/>
        <w:t xml:space="preserve">๑ </w:t>
      </w:r>
      <w:r>
        <w:rPr>
          <w:rFonts w:ascii="THSarabunPSK" w:hAnsi="THSarabunPSK" w:cs="THSarabunPSK"/>
          <w:cs/>
        </w:rPr>
        <w:t>–</w:t>
      </w:r>
      <w:r>
        <w:rPr>
          <w:rFonts w:ascii="THSarabunPSK" w:hAnsi="THSarabunPSK" w:cs="THSarabunPSK" w:hint="cs"/>
          <w:cs/>
        </w:rPr>
        <w:t xml:space="preserve"> ๖</w:t>
      </w:r>
    </w:p>
    <w:p w:rsidR="001E7569" w:rsidRDefault="001E7569" w:rsidP="001E7569">
      <w:pPr>
        <w:spacing w:after="0" w:line="240" w:lineRule="auto"/>
        <w:rPr>
          <w:rFonts w:ascii="THSarabunPSK" w:hAnsi="THSarabunPSK" w:cs="THSarabunPSK"/>
        </w:rPr>
      </w:pPr>
      <w:r>
        <w:rPr>
          <w:rFonts w:ascii="THSarabunPSK" w:hAnsi="THSarabunPSK" w:cs="THSarabunPSK" w:hint="cs"/>
          <w:cs/>
        </w:rPr>
        <w:tab/>
        <w:t>ระดับความเสี่ยงด้านเหตุการณ์ภายนอก</w:t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  <w:t>มีค่าตั้งแต่</w:t>
      </w:r>
      <w:r>
        <w:rPr>
          <w:rFonts w:ascii="THSarabunPSK" w:hAnsi="THSarabunPSK" w:cs="THSarabunPSK" w:hint="cs"/>
          <w:cs/>
        </w:rPr>
        <w:tab/>
        <w:t xml:space="preserve">๑ </w:t>
      </w:r>
      <w:r>
        <w:rPr>
          <w:rFonts w:ascii="THSarabunPSK" w:hAnsi="THSarabunPSK" w:cs="THSarabunPSK"/>
          <w:cs/>
        </w:rPr>
        <w:t>–</w:t>
      </w:r>
      <w:r>
        <w:rPr>
          <w:rFonts w:ascii="THSarabunPSK" w:hAnsi="THSarabunPSK" w:cs="THSarabunPSK" w:hint="cs"/>
          <w:cs/>
        </w:rPr>
        <w:t xml:space="preserve"> ๖</w:t>
      </w:r>
    </w:p>
    <w:p w:rsidR="001E7569" w:rsidRDefault="001E7569" w:rsidP="001E7569">
      <w:pPr>
        <w:spacing w:after="0" w:line="240" w:lineRule="auto"/>
        <w:rPr>
          <w:rFonts w:ascii="THSarabunPSK" w:hAnsi="THSarabunPSK" w:cs="THSarabunPSK" w:hint="cs"/>
          <w:cs/>
        </w:rPr>
      </w:pPr>
      <w:r>
        <w:rPr>
          <w:rFonts w:ascii="THSarabunPSK" w:hAnsi="THSarabunPSK" w:cs="THSarabunPSK" w:hint="cs"/>
          <w:cs/>
        </w:rPr>
        <w:tab/>
        <w:t>ระดับความเสี่ยงด้านกลยุทธ์</w:t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  <w:t>มีค่าตั้งแต่</w:t>
      </w:r>
      <w:r>
        <w:rPr>
          <w:rFonts w:ascii="THSarabunPSK" w:hAnsi="THSarabunPSK" w:cs="THSarabunPSK" w:hint="cs"/>
          <w:cs/>
        </w:rPr>
        <w:tab/>
        <w:t xml:space="preserve">๑ </w:t>
      </w:r>
      <w:r>
        <w:rPr>
          <w:rFonts w:ascii="THSarabunPSK" w:hAnsi="THSarabunPSK" w:cs="THSarabunPSK"/>
          <w:cs/>
        </w:rPr>
        <w:t>–</w:t>
      </w:r>
      <w:r>
        <w:rPr>
          <w:rFonts w:ascii="THSarabunPSK" w:hAnsi="THSarabunPSK" w:cs="THSarabunPSK" w:hint="cs"/>
          <w:cs/>
        </w:rPr>
        <w:t xml:space="preserve"> ๖</w:t>
      </w:r>
    </w:p>
    <w:p w:rsidR="001E7569" w:rsidRPr="00BA12DC" w:rsidRDefault="001E7569" w:rsidP="001E7569">
      <w:pPr>
        <w:spacing w:after="0" w:line="240" w:lineRule="auto"/>
        <w:rPr>
          <w:rFonts w:ascii="THSarabunPSK" w:hAnsi="THSarabunPSK" w:cs="THSarabunPSK" w:hint="cs"/>
          <w:cs/>
        </w:rPr>
      </w:pPr>
    </w:p>
    <w:p w:rsidR="001E7569" w:rsidRPr="00CD2E81" w:rsidRDefault="001E7569" w:rsidP="001E7569">
      <w:pPr>
        <w:spacing w:after="0" w:line="240" w:lineRule="auto"/>
        <w:rPr>
          <w:rFonts w:ascii="THSarabunPSK" w:hAnsi="THSarabunPSK" w:cs="THSarabunPSK"/>
          <w:b/>
          <w:bCs/>
          <w:color w:val="auto"/>
          <w:spacing w:val="-4"/>
        </w:rPr>
      </w:pPr>
      <w:r w:rsidRPr="00CD2E81">
        <w:rPr>
          <w:rFonts w:ascii="THSarabunPSK-Bold" w:hAnsi="THSarabunPSK-Bold" w:cs="THSarabunPSK-Bold" w:hint="cs"/>
          <w:b/>
          <w:bCs/>
          <w:spacing w:val="-4"/>
          <w:sz w:val="30"/>
          <w:szCs w:val="30"/>
          <w:cs/>
        </w:rPr>
        <w:t>ที่มา</w:t>
      </w:r>
      <w:r w:rsidRPr="00CD2E81">
        <w:rPr>
          <w:rFonts w:ascii="THSarabunPSK-Bold" w:hAnsi="THSarabunPSK-Bold" w:cs="THSarabunPSK-Bold"/>
          <w:b/>
          <w:bCs/>
          <w:spacing w:val="-4"/>
          <w:sz w:val="30"/>
          <w:szCs w:val="30"/>
        </w:rPr>
        <w:t xml:space="preserve"> : </w:t>
      </w:r>
      <w:r w:rsidRPr="00CD2E81">
        <w:rPr>
          <w:rFonts w:ascii="THSarabunPSK" w:hAnsi="THSarabunPSK" w:cs="THSarabunPSK" w:hint="cs"/>
          <w:spacing w:val="-4"/>
          <w:sz w:val="30"/>
          <w:szCs w:val="30"/>
          <w:cs/>
        </w:rPr>
        <w:t>ปรับปรุงมาจา</w:t>
      </w:r>
      <w:r w:rsidRPr="00CD2E81">
        <w:rPr>
          <w:rFonts w:ascii="THSarabunPSK" w:hAnsi="THSarabunPSK" w:cs="THSarabunPSK" w:hint="cs"/>
          <w:color w:val="auto"/>
          <w:spacing w:val="-4"/>
          <w:sz w:val="30"/>
          <w:szCs w:val="30"/>
          <w:cs/>
        </w:rPr>
        <w:t xml:space="preserve">ก </w:t>
      </w:r>
      <w:hyperlink r:id="rId8" w:history="1">
        <w:r w:rsidRPr="00CD2E81">
          <w:rPr>
            <w:rStyle w:val="a3"/>
            <w:rFonts w:ascii="THSarabunPSK" w:hAnsi="THSarabunPSK" w:cs="THSarabunPSK"/>
            <w:color w:val="auto"/>
            <w:spacing w:val="-4"/>
            <w:sz w:val="30"/>
            <w:szCs w:val="30"/>
            <w:u w:val="none"/>
          </w:rPr>
          <w:t>www.admin.cam.ac.uk/offices/secretariat/risk/toolkit/risk_impact_grid.doc</w:t>
        </w:r>
      </w:hyperlink>
    </w:p>
    <w:sectPr w:rsidR="001E7569" w:rsidRPr="00CD2E81" w:rsidSect="001E7569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E7569"/>
    <w:rsid w:val="001E7569"/>
    <w:rsid w:val="002430D7"/>
    <w:rsid w:val="0033038B"/>
    <w:rsid w:val="00B6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69"/>
    <w:rPr>
      <w:rFonts w:ascii="TH SarabunPSK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offices/secretariat/risk/toolkit/risk_impact_grid.doc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Office_Excel_97-2003_Worksheet1.xls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2014-11-12T10:48:00Z</dcterms:created>
  <dcterms:modified xsi:type="dcterms:W3CDTF">2014-11-12T11:01:00Z</dcterms:modified>
</cp:coreProperties>
</file>